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
        <w:gridCol w:w="3320"/>
        <w:gridCol w:w="5320"/>
        <w:tblGridChange w:id="0">
          <w:tblGrid>
            <w:gridCol w:w="400"/>
            <w:gridCol w:w="3320"/>
            <w:gridCol w:w="5320"/>
          </w:tblGrid>
        </w:tblGridChange>
      </w:tblGrid>
      <w:tr>
        <w:trPr>
          <w:trHeight w:val="3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Проектная декларация общества с ограниченной ответственностью «Солнечный город»</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5"/>
                <w:szCs w:val="25"/>
                <w:rtl w:val="0"/>
              </w:rPr>
              <w:t xml:space="preserve">Строительство жилого дома с нежилыми помещениями (2 этап, 3 блок-секция) по адресу: Тюменская обл., г. Тюмень, ул. Мельникайте-Ставропольская-Самарцева (ГП-13, ГП-14)</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застройщике</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Наименование</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Общество с ограниченной ответственностью «Солнечный город»</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Юридический адрес: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Режим работы: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Телефоны: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Фактический и почтовый адрес:</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 Тюмень, ул. Пермякова, 94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Понедельник-пятница 09.00-18.00 ч.,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тел/факс (3452) 42-98-48</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г.Тюмень,  ул. Мельникайте 138/1</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Государственная регистрация</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Зарегистрировано Межрайонной инспекцией Федеральной налоговой службы №14 по Тюменской области 31.08.2011, свидетельство серия                               72 № 002127761, ОГРН 1117232038252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ИНН/КПП 7203267933/720301001</w:t>
            </w:r>
          </w:p>
          <w:p w:rsidR="00000000" w:rsidDel="00000000" w:rsidP="00000000" w:rsidRDefault="00000000" w:rsidRPr="00000000">
            <w:pPr>
              <w:spacing w:line="240" w:lineRule="auto"/>
              <w:contextualSpacing w:val="0"/>
            </w:pPr>
            <w:r w:rsidDel="00000000" w:rsidR="00000000" w:rsidRPr="00000000">
              <w:rPr>
                <w:rtl w:val="0"/>
              </w:rPr>
            </w:r>
          </w:p>
        </w:tc>
      </w:tr>
      <w:tr>
        <w:trPr>
          <w:trHeight w:val="18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Участники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Юрий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Игорь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tc>
      </w:tr>
      <w:tr>
        <w:trPr>
          <w:trHeight w:val="11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Реализованные проекты строительства в течение трёх лет, предшествующих опубликованию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9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Вид лицензируемой деятельности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Информация о лицензии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760" w:hRule="atLeast"/>
        </w:trPr>
        <w:tc>
          <w:tcPr/>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rFonts w:ascii="Times New Roman" w:cs="Times New Roman" w:eastAsia="Times New Roman" w:hAnsi="Times New Roman"/>
                <w:sz w:val="25"/>
                <w:szCs w:val="25"/>
                <w:rtl w:val="0"/>
              </w:rPr>
              <w:t xml:space="preserve">7</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Финансовый результат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Кредиторская задолженность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Дебиторская задолженность  на дату опубликования проектной декларации</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86 000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36 934 000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154 416 000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проекте строительства</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12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Цели проекта строительства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Активизация застройки города Тюмени, развитие общественной инфраструктуры, создание условий для комфортного проживания и ведения бизнеса.</w:t>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Этапы и сроки реализации проекта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Начало строительства 2 этапа 3 блок-секции – октябрь 2013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Окончание строительства 2 этапа 3 блок-секции  – октябрь 2015г.</w:t>
            </w:r>
          </w:p>
          <w:p w:rsidR="00000000" w:rsidDel="00000000" w:rsidP="00000000" w:rsidRDefault="00000000" w:rsidRPr="00000000">
            <w:pPr>
              <w:spacing w:line="240" w:lineRule="auto"/>
              <w:contextualSpacing w:val="0"/>
            </w:pPr>
            <w:r w:rsidDel="00000000" w:rsidR="00000000" w:rsidRPr="00000000">
              <w:rPr>
                <w:rtl w:val="0"/>
              </w:rPr>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Результаты негосударственной экспертизы проектной документации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 получил положительное заключение негосударственной экспертизы ООО «Геопроект» №2-1-1-0204-12 от 01.04.2013г. Свидетельство об аккредитации №72-2-5-041-09 от 20.08.2009</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 № RU72304000-373-рс от 03.10.2013г., выданное Администрацией города Тюмени.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Срок действия - до 03.05.2015г. </w:t>
            </w:r>
          </w:p>
          <w:p w:rsidR="00000000" w:rsidDel="00000000" w:rsidP="00000000" w:rsidRDefault="00000000" w:rsidRPr="00000000">
            <w:pPr>
              <w:spacing w:line="240" w:lineRule="auto"/>
              <w:contextualSpacing w:val="0"/>
            </w:pPr>
            <w:r w:rsidDel="00000000" w:rsidR="00000000" w:rsidRPr="00000000">
              <w:rPr>
                <w:rtl w:val="0"/>
              </w:rPr>
            </w:r>
          </w:p>
        </w:tc>
      </w:tr>
      <w:tr>
        <w:trPr>
          <w:trHeight w:val="23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Права на земельный участок</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Земельный участок площадью 16 808 кв. м, кадастровый номер 72:23:04 29 002:795. Категория земель: земли населённых пунктов, разрешённое использование: для строительства многоэтажных жилых домов с нежилыми помещениями (ГП-13, 14).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Принадлежит на праве субаренды на основании: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субаренды № 24-12 земельного участка, предоставляемого для строительства от «19» июля 2012 года, зарегистрированным Управлением федеральной службы государственной регистрации, кадастра и картографии по Тюменской области за номером 72-72-01/365/2012-074 от «12» ноября 2012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аренды № 23-30/707 земельного участка, предоставляемого для строительства (землеустроительное дело № 23-1484) от «29» декабря 2007 года, зарегистрированного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19.03.2008г. о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08.10.2012г. о продлении и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72-72-01/516/2012-175 от «12» ноября 2012 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Согласно данным ЕГРП правообладатель земельного участка отсутствует, вид права не зарегистрирован.</w:t>
            </w:r>
          </w:p>
        </w:tc>
      </w:tr>
      <w:tr>
        <w:trPr>
          <w:trHeight w:val="448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ind w:right="-104"/>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 решается устройством проездов, стоянок личного транспорта, тротуаров, площадок отдыха, оборудованных архитектурными формами фирмы КСИЛ, ОАО «Югор», ООО «Алгоритм». Благоустройство выполнено без резких перепадов на путях пешеходного движения, без порогов, в местах пересечения пешеходных тротуаров с проезжей частью выполнены участки пандусов с уклоном до 1:15, шириной 1м., предусмотрен въездной пандус.</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25"/>
                <w:szCs w:val="25"/>
                <w:rtl w:val="0"/>
              </w:rPr>
              <w:t xml:space="preserve">Озеленение территории решено посадкой деревьев с комом и деревьев-саженцев лиственных пород, кустарников, устройством газонов.</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Покрытия проездов, стоянок – асфальтобетон, покрытие площадок – крупнозернистый песок.</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Описание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Объект территориально расположен в Калининском административном округе г.Тюмени в квартале улиц Мельникайте-Ставропольская-Самарцева и представляет собой согласно проекту (2 этап, 3 блок-секция) одну 16-этажную блок-секцию, кроме того – цокольный этаж. Нежилые помещения запроектированы на первом этаже и цокольном этаже. Общая площадь здания – 8584,08 кв.м., общая площадь офиса № 3 – 309,26 кв.м, общая площадь торговых помещений павильонного типа – 549,17 кв.м., строительный объем – 29879,27 куб.м., в том числе ниже отм. 0.000 – 2390,47 куб.м., инженерные коммуникации</w:t>
            </w:r>
            <w:r w:rsidDel="00000000" w:rsidR="00000000" w:rsidRPr="00000000">
              <w:rPr>
                <w:rFonts w:ascii="Times New Roman" w:cs="Times New Roman" w:eastAsia="Times New Roman" w:hAnsi="Times New Roman"/>
                <w:color w:val="ff0000"/>
                <w:sz w:val="25"/>
                <w:szCs w:val="25"/>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Функциональное назначение нежилых помещений – торгово-офисные.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 доме имеются 2 лифта, один из которых грузопассажирский.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Показатели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квартир – 105 шт., в том числе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1-комн. – 90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2-комн. – 15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квартир – 4624.4 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Все квартиры рассчитаны на повышенный комфорт проживания и имеют необходимый состав помещений, включающий в себя раздельный или совмещённый санузел, прихожую, кухню, гостиную, лоджию.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нежилых помещений – 2 шт.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Нежилые помещения расположены на первом и цокольном этаже: площадь торговых помещений павильонного типа – 549,17 кв.м.,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площадь офисных помещений – 309,26 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нежилых помещений – 855,43 кв.м.</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16</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Технические характеристики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Конструкции объекта разработаны для условий отапливаемого здания. Фундамент – свайный с монолитным железобетонным ростверком. Стены наружные – керамический пустотелый кирпич. Облицовка – кирпич керамический лицевой. В качестве утеплителя приняты плиты пенополистирольные толщиной 50мм. Внутренние стены из керамического пустотелого кирпича, перегородки из кирпича пустотелого утолщенного  марки 100. Лестницы – сборные железобетонные. Перекрытия – сборные железобетонные.  Окна – пластиковые, двери – деревянные и индивидуального изготовления (металлические). Крыша – совмещенная с внутренним водостоком.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17</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Состав общего имущества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Межквартирные лестничные площадки, лестницы.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Лифты, лифтовые и иные шахты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Коридоры, технические этажи, чердаки и подвалы, в которых имеются инженерные коммуникации, иное обслуживающее более одного помещения в доме оборудование (технические подвалы).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Крыши.</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Ограждающие несущие и ненесущие конструкции дома.</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Земельный участок, на котором будет расположен дом, с элементами озеленения и благоустройства.</w:t>
            </w:r>
          </w:p>
          <w:p w:rsidR="00000000" w:rsidDel="00000000" w:rsidP="00000000" w:rsidRDefault="00000000" w:rsidRPr="00000000">
            <w:pPr>
              <w:spacing w:line="240" w:lineRule="auto"/>
              <w:contextualSpacing w:val="0"/>
              <w:jc w:val="both"/>
            </w:pPr>
            <w:r w:rsidDel="00000000" w:rsidR="00000000" w:rsidRPr="00000000">
              <w:rPr>
                <w:rtl w:val="0"/>
              </w:rPr>
            </w:r>
          </w:p>
        </w:tc>
      </w:tr>
      <w:tr>
        <w:trPr>
          <w:trHeight w:val="13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представители которых будут участвовать в приёмке объекта</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 2 этапа 3 блок-секции – не позднее IV квартала 2015 года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Администрация города Тюмени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16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Возможные финансовые и прочие риски при осуществлении проекта строительства и меры по добровольному страхованию застройщиком таких рисков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невелика, так как финансовое положение ООО «Солнечный город» является стабильным.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может быть обусловлена только возникновением форс-мажорных обстоятельств, таких, как стихийные бедствия (землетрясения, наводнения), военные действия, забастовки, а также принятие органами государственной власти или органами местного самоуправления решений, которые могут повлечь за собой увеличение срока ввода жилого дома в эксплуатацию. Добровольное страхование застройщиком рисков при осуществлении строительства объекта не производится.</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Планируемая стоимость строительства</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148 630 075 рублей</w:t>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осуществляющие основные строительно-монтажные и другие работы</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Проектная организация – ЗАО «Проектировщик»</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Генеральный подрядчик – ЗАО «СМУ-15 Тюменьгорстрой» (Свидетельство НП «Саморегулируемая организация строителей Тюменской области» №0065.03-2009-720311297-С-015 от 13.11.2012г., без ограничения срока и территории действия)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ff0000"/>
                <w:sz w:val="25"/>
                <w:szCs w:val="25"/>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Способ обеспечения исполнения обязательств застройщика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Залог в порядке, предусмотренном статьями 13 - 15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23</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Иные договоры и сделки, на основании которых привлекаются денежные средства для строительства (за исключением договоров долевого участия)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Структура финансирования по объекту</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Привлеченные денежные средства (займы юридических лиц)</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Генеральный директор</w:t>
        <w:tab/>
        <w:tab/>
        <w:tab/>
        <w:tab/>
        <w:tab/>
        <w:tab/>
        <w:tab/>
        <w:t xml:space="preserve">А. И. Самойлов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4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